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6E9" w14:textId="77777777" w:rsidR="00CD55DF" w:rsidRDefault="00000000">
      <w:pPr>
        <w:widowControl w:val="0"/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5EF77B0" wp14:editId="6ECF5348">
            <wp:simplePos x="0" y="0"/>
            <wp:positionH relativeFrom="column">
              <wp:posOffset>2657475</wp:posOffset>
            </wp:positionH>
            <wp:positionV relativeFrom="paragraph">
              <wp:posOffset>1065516</wp:posOffset>
            </wp:positionV>
            <wp:extent cx="660400" cy="73533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-110" t="-98" r="-110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BAE1C7" wp14:editId="76744311">
            <wp:simplePos x="0" y="0"/>
            <wp:positionH relativeFrom="column">
              <wp:posOffset>-319087</wp:posOffset>
            </wp:positionH>
            <wp:positionV relativeFrom="paragraph">
              <wp:posOffset>0</wp:posOffset>
            </wp:positionV>
            <wp:extent cx="6120130" cy="90805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100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2340"/>
        <w:gridCol w:w="3270"/>
        <w:gridCol w:w="2490"/>
      </w:tblGrid>
      <w:tr w:rsidR="00CD55DF" w14:paraId="6C888802" w14:textId="77777777">
        <w:trPr>
          <w:trHeight w:val="1127"/>
        </w:trPr>
        <w:tc>
          <w:tcPr>
            <w:tcW w:w="2340" w:type="dxa"/>
          </w:tcPr>
          <w:p w14:paraId="5834D5F8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017650" w14:textId="77777777" w:rsidR="00CD55DF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653DD0B8" wp14:editId="0F7D124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49530</wp:posOffset>
                  </wp:positionV>
                  <wp:extent cx="684530" cy="4051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67" t="-445" r="-266" b="-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24D87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3270" w:type="dxa"/>
          </w:tcPr>
          <w:p w14:paraId="35923650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14:paraId="453A5B0D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14:paraId="6AC3E03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777D2CF7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1832E62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Liceo Scientifico</w:t>
            </w:r>
          </w:p>
          <w:p w14:paraId="73B4720E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Liceo Artistico</w:t>
            </w:r>
          </w:p>
        </w:tc>
      </w:tr>
    </w:tbl>
    <w:p w14:paraId="4CD6978E" w14:textId="77777777" w:rsidR="00CD55DF" w:rsidRDefault="00CD55DF">
      <w:pPr>
        <w:widowControl w:val="0"/>
        <w:spacing w:line="240" w:lineRule="auto"/>
        <w:jc w:val="center"/>
        <w:rPr>
          <w:sz w:val="14"/>
          <w:szCs w:val="14"/>
        </w:rPr>
      </w:pPr>
    </w:p>
    <w:p w14:paraId="5F8112E7" w14:textId="77777777" w:rsidR="00CD55DF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LICEO STATALE “ALESSANDRO SERPIERI”</w:t>
      </w:r>
    </w:p>
    <w:p w14:paraId="75BF0C78" w14:textId="77777777" w:rsidR="00CD55DF" w:rsidRDefault="00000000">
      <w:pPr>
        <w:widowControl w:val="0"/>
        <w:spacing w:line="240" w:lineRule="auto"/>
        <w:ind w:right="42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Via </w:t>
      </w:r>
      <w:proofErr w:type="spellStart"/>
      <w:r>
        <w:rPr>
          <w:sz w:val="14"/>
          <w:szCs w:val="14"/>
        </w:rPr>
        <w:t>Sacramora</w:t>
      </w:r>
      <w:proofErr w:type="spellEnd"/>
      <w:r>
        <w:rPr>
          <w:sz w:val="14"/>
          <w:szCs w:val="14"/>
        </w:rPr>
        <w:t xml:space="preserve"> 52 – 47922 Rimini – CF 91150430402</w:t>
      </w:r>
    </w:p>
    <w:p w14:paraId="3D4E4EA8" w14:textId="77777777" w:rsidR="00CD55DF" w:rsidRDefault="00000000">
      <w:pPr>
        <w:widowControl w:val="0"/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Tel. 0541 733150 – Fax 0541 449690 – http://www.liceoserpieri.edu.it</w:t>
      </w:r>
    </w:p>
    <w:p w14:paraId="002C4EA3" w14:textId="77777777" w:rsidR="00CD55DF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email: </w:t>
      </w:r>
      <w:hyperlink r:id="rId8">
        <w:r w:rsidR="00CD55DF">
          <w:rPr>
            <w:color w:val="0000EE"/>
            <w:sz w:val="14"/>
            <w:szCs w:val="14"/>
            <w:u w:val="single"/>
          </w:rPr>
          <w:t>RNPS05000C@istruzione.it</w:t>
        </w:r>
      </w:hyperlink>
      <w:r>
        <w:rPr>
          <w:sz w:val="14"/>
          <w:szCs w:val="14"/>
        </w:rPr>
        <w:t xml:space="preserve"> – </w:t>
      </w:r>
      <w:proofErr w:type="spellStart"/>
      <w:r>
        <w:rPr>
          <w:sz w:val="14"/>
          <w:szCs w:val="14"/>
        </w:rPr>
        <w:t>pec</w:t>
      </w:r>
      <w:proofErr w:type="spellEnd"/>
      <w:r>
        <w:rPr>
          <w:sz w:val="14"/>
          <w:szCs w:val="14"/>
        </w:rPr>
        <w:t xml:space="preserve">: </w:t>
      </w:r>
      <w:hyperlink r:id="rId9">
        <w:r w:rsidR="00CD55DF">
          <w:rPr>
            <w:color w:val="0000FF"/>
            <w:sz w:val="14"/>
            <w:szCs w:val="14"/>
            <w:u w:val="single"/>
          </w:rPr>
          <w:t>rnps05000c@pec.istruzione.it</w:t>
        </w:r>
      </w:hyperlink>
    </w:p>
    <w:p w14:paraId="3ED18142" w14:textId="77777777" w:rsidR="00CD55DF" w:rsidRDefault="00CD55DF">
      <w:pPr>
        <w:widowControl w:val="0"/>
        <w:spacing w:line="240" w:lineRule="auto"/>
        <w:jc w:val="center"/>
        <w:rPr>
          <w:color w:val="00000A"/>
          <w:sz w:val="24"/>
          <w:szCs w:val="24"/>
        </w:rPr>
      </w:pPr>
    </w:p>
    <w:p w14:paraId="065883BE" w14:textId="77777777" w:rsidR="00CD55DF" w:rsidRDefault="00000000">
      <w:pPr>
        <w:widowControl w:val="0"/>
        <w:spacing w:before="9"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Anno scolastico 2024/2025</w:t>
      </w:r>
    </w:p>
    <w:p w14:paraId="2811E8D2" w14:textId="77777777" w:rsidR="00CD55DF" w:rsidRDefault="00CD55DF" w:rsidP="00366455">
      <w:pPr>
        <w:widowControl w:val="0"/>
        <w:spacing w:line="240" w:lineRule="auto"/>
        <w:rPr>
          <w:sz w:val="24"/>
          <w:szCs w:val="24"/>
        </w:rPr>
      </w:pPr>
    </w:p>
    <w:p w14:paraId="521D763D" w14:textId="77777777" w:rsidR="00CD55DF" w:rsidRDefault="00CD55DF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32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6825"/>
      </w:tblGrid>
      <w:tr w:rsidR="00CD55DF" w14:paraId="7A93F51E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D39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CC27" w14:textId="7C329724" w:rsidR="00CD55DF" w:rsidRDefault="008435A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Mattia Fabbri - </w:t>
            </w:r>
            <w:r w:rsidR="0090511F">
              <w:rPr>
                <w:sz w:val="24"/>
                <w:szCs w:val="24"/>
              </w:rPr>
              <w:t xml:space="preserve">Luca Socci - </w:t>
            </w:r>
            <w:r w:rsidR="00866C7C">
              <w:rPr>
                <w:sz w:val="24"/>
                <w:szCs w:val="24"/>
              </w:rPr>
              <w:t>Giada Galassi</w:t>
            </w:r>
          </w:p>
        </w:tc>
      </w:tr>
      <w:tr w:rsidR="00CD55DF" w14:paraId="3F8CA53F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70F8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151" w14:textId="3256906D" w:rsidR="00CD55DF" w:rsidRDefault="008435A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  <w:tr w:rsidR="00CD55DF" w14:paraId="2204B158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2D0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B998" w14:textId="0584232D" w:rsidR="00CD55DF" w:rsidRDefault="008435A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4J</w:t>
            </w:r>
          </w:p>
        </w:tc>
      </w:tr>
    </w:tbl>
    <w:p w14:paraId="29144E7E" w14:textId="77777777" w:rsidR="00CD55DF" w:rsidRDefault="00CD55DF">
      <w:pPr>
        <w:widowControl w:val="0"/>
        <w:tabs>
          <w:tab w:val="left" w:pos="992"/>
          <w:tab w:val="left" w:pos="993"/>
        </w:tabs>
        <w:spacing w:before="12" w:line="249" w:lineRule="auto"/>
        <w:ind w:right="-607"/>
        <w:rPr>
          <w:color w:val="FF0000"/>
        </w:rPr>
      </w:pPr>
    </w:p>
    <w:p w14:paraId="0B14033B" w14:textId="77777777" w:rsidR="00CD55DF" w:rsidRDefault="00CD55DF">
      <w:pPr>
        <w:widowControl w:val="0"/>
        <w:spacing w:line="240" w:lineRule="auto"/>
        <w:rPr>
          <w:i/>
          <w:sz w:val="20"/>
          <w:szCs w:val="20"/>
        </w:rPr>
      </w:pPr>
    </w:p>
    <w:p w14:paraId="19CC9E8A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tbl>
      <w:tblPr>
        <w:tblStyle w:val="a1"/>
        <w:tblW w:w="1024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45"/>
      </w:tblGrid>
      <w:tr w:rsidR="00CD55DF" w14:paraId="021932ED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DF23" w14:textId="77777777" w:rsidR="00CD55DF" w:rsidRDefault="00000000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  <w:r>
              <w:rPr>
                <w:b/>
              </w:rPr>
              <w:t>OBIETTIVI DELLA PROGRAMMAZIONE/OBIETTIVI RAGGIUNTI</w:t>
            </w:r>
          </w:p>
          <w:p w14:paraId="227F14BD" w14:textId="23AC7176" w:rsidR="00CD55DF" w:rsidRDefault="00000000">
            <w:pPr>
              <w:widowControl w:val="0"/>
              <w:spacing w:before="105" w:line="249" w:lineRule="auto"/>
              <w:ind w:left="272" w:right="193"/>
            </w:pPr>
            <w:r>
              <w:t>In relazione alla programmazione curricolare, sono stati raggiunti i seguenti obiettivi generali:</w:t>
            </w:r>
          </w:p>
          <w:p w14:paraId="522C870B" w14:textId="77777777" w:rsidR="00866C7C" w:rsidRDefault="00866C7C">
            <w:pPr>
              <w:widowControl w:val="0"/>
              <w:spacing w:before="105" w:line="249" w:lineRule="auto"/>
              <w:ind w:left="272" w:right="193"/>
            </w:pPr>
          </w:p>
          <w:p w14:paraId="004B5408" w14:textId="4D96EACD" w:rsidR="00CD55DF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riconoscere i principali </w:t>
            </w:r>
            <w:r w:rsidR="008435AF">
              <w:t>autori del periodo umanistico-rinascimentale</w:t>
            </w:r>
          </w:p>
          <w:p w14:paraId="63DBEFC0" w14:textId="09D14C2F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analizzare </w:t>
            </w:r>
            <w:r w:rsidR="008435AF">
              <w:t>i cambiamenti letterari dal Concilio di Trento al ‘700</w:t>
            </w:r>
          </w:p>
          <w:p w14:paraId="06E8FB60" w14:textId="47BE1322" w:rsidR="00866C7C" w:rsidRPr="008435AF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esaminare </w:t>
            </w:r>
            <w:r w:rsidR="008435AF">
              <w:t>la produzione letteraria del primo Ottocento</w:t>
            </w:r>
          </w:p>
          <w:p w14:paraId="6D1FBD1F" w14:textId="6F2889AD" w:rsidR="008435AF" w:rsidRPr="00866C7C" w:rsidRDefault="008435AF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approfondire i significati del Purgatorio dantesco</w:t>
            </w:r>
          </w:p>
          <w:p w14:paraId="0F818E91" w14:textId="0A70ECA3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esporre </w:t>
            </w:r>
            <w:r w:rsidR="00366455">
              <w:t xml:space="preserve">gli argomenti studiati </w:t>
            </w:r>
            <w:r>
              <w:t>con un linguaggio appropriato</w:t>
            </w:r>
          </w:p>
          <w:p w14:paraId="0D947E11" w14:textId="162C8261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fare collegamenti tra differenti periodi </w:t>
            </w:r>
            <w:r w:rsidR="008435AF">
              <w:t>letterari</w:t>
            </w:r>
          </w:p>
          <w:p w14:paraId="64E36150" w14:textId="0277519E" w:rsidR="00CD55DF" w:rsidRDefault="00CD55DF" w:rsidP="00866C7C">
            <w:pPr>
              <w:spacing w:after="200"/>
              <w:rPr>
                <w:color w:val="FF0000"/>
                <w:sz w:val="16"/>
                <w:szCs w:val="16"/>
              </w:rPr>
            </w:pPr>
          </w:p>
        </w:tc>
      </w:tr>
    </w:tbl>
    <w:p w14:paraId="1BC36F70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p w14:paraId="3396DE27" w14:textId="77777777" w:rsidR="00CD55DF" w:rsidRDefault="00CD55DF"/>
    <w:tbl>
      <w:tblPr>
        <w:tblStyle w:val="a2"/>
        <w:tblW w:w="1026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CD55DF" w14:paraId="33A5BC69" w14:textId="77777777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4D11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14:paraId="3AFA6948" w14:textId="0136B221" w:rsidR="00CD55DF" w:rsidRDefault="00866C7C">
            <w:pPr>
              <w:spacing w:before="106" w:after="200"/>
              <w:ind w:left="332"/>
              <w:rPr>
                <w:color w:val="FF0000"/>
              </w:rPr>
            </w:pPr>
            <w:r w:rsidRPr="0090511F">
              <w:t xml:space="preserve">Lezione frontale, </w:t>
            </w:r>
            <w:r w:rsidR="0090511F">
              <w:t>fonti letterarie</w:t>
            </w:r>
          </w:p>
        </w:tc>
      </w:tr>
    </w:tbl>
    <w:p w14:paraId="7839C608" w14:textId="77777777" w:rsidR="00CD55DF" w:rsidRDefault="00CD55DF"/>
    <w:tbl>
      <w:tblPr>
        <w:tblStyle w:val="a3"/>
        <w:tblW w:w="101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7D6C113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2275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MATERIALI E STRUMENTI DIDATTICI UTILIZZATI</w:t>
            </w:r>
          </w:p>
          <w:p w14:paraId="2449CCE3" w14:textId="77777777" w:rsidR="00866C7C" w:rsidRPr="00866C7C" w:rsidRDefault="00866C7C" w:rsidP="00866C7C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  <w:rPr>
                <w:color w:val="FF0000"/>
              </w:rPr>
            </w:pPr>
          </w:p>
          <w:p w14:paraId="2C6189C3" w14:textId="1492D829" w:rsidR="00CD55DF" w:rsidRPr="00866C7C" w:rsidRDefault="00000000" w:rsidP="008820F5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6" w:lineRule="auto"/>
            </w:pPr>
            <w:r w:rsidRPr="00866C7C">
              <w:t>Libro di testo:</w:t>
            </w:r>
            <w:r w:rsidR="00866C7C" w:rsidRPr="00866C7C">
              <w:t xml:space="preserve"> </w:t>
            </w:r>
            <w:r w:rsidR="008820F5">
              <w:t>Bologna, Rocchi, Rossi</w:t>
            </w:r>
            <w:r w:rsidR="00866C7C" w:rsidRPr="00866C7C">
              <w:t xml:space="preserve">, </w:t>
            </w:r>
            <w:r w:rsidR="00866C7C" w:rsidRPr="00866C7C">
              <w:rPr>
                <w:i/>
                <w:iCs/>
              </w:rPr>
              <w:t>Le</w:t>
            </w:r>
            <w:r w:rsidR="008820F5">
              <w:rPr>
                <w:i/>
                <w:iCs/>
              </w:rPr>
              <w:t>tteratura visione del mondo</w:t>
            </w:r>
            <w:r w:rsidR="00866C7C" w:rsidRPr="00866C7C">
              <w:t xml:space="preserve">, </w:t>
            </w:r>
            <w:r w:rsidR="00A059F6">
              <w:t xml:space="preserve">vol. </w:t>
            </w:r>
            <w:r w:rsidR="008820F5">
              <w:t>1B e 2B</w:t>
            </w:r>
            <w:r w:rsidR="00A059F6">
              <w:t xml:space="preserve">, </w:t>
            </w:r>
            <w:r w:rsidR="008820F5">
              <w:t xml:space="preserve">ed. blu, </w:t>
            </w:r>
            <w:r w:rsidR="00866C7C" w:rsidRPr="00866C7C">
              <w:t>Loescher editore</w:t>
            </w:r>
            <w:r w:rsidR="008820F5">
              <w:t xml:space="preserve"> - Alighieri, </w:t>
            </w:r>
            <w:r w:rsidR="008820F5" w:rsidRPr="008820F5">
              <w:rPr>
                <w:i/>
                <w:iCs/>
              </w:rPr>
              <w:t>Purgatorio</w:t>
            </w:r>
          </w:p>
          <w:p w14:paraId="6BC341A5" w14:textId="1C607BEA" w:rsidR="00CD55DF" w:rsidRPr="00866C7C" w:rsidRDefault="00000000" w:rsidP="00866C7C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1" w:lineRule="auto"/>
            </w:pPr>
            <w:r w:rsidRPr="00866C7C">
              <w:t xml:space="preserve">Appunti </w:t>
            </w:r>
          </w:p>
          <w:p w14:paraId="5357BC11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34B9DB22" w14:textId="77777777" w:rsidR="00CD55DF" w:rsidRDefault="00CD55DF"/>
    <w:tbl>
      <w:tblPr>
        <w:tblStyle w:val="a4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21C2FC14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6A0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TIPOLOGIA DELLE PROVE DI VERIFICA UTILIZZATE E CRITERI DI VALUTAZIONE</w:t>
            </w:r>
          </w:p>
          <w:p w14:paraId="69F8A5A0" w14:textId="77777777" w:rsidR="00366455" w:rsidRDefault="00366455" w:rsidP="0090511F">
            <w:pPr>
              <w:spacing w:before="106" w:after="200"/>
              <w:ind w:left="332"/>
              <w:rPr>
                <w:color w:val="FF0000"/>
                <w:sz w:val="19"/>
                <w:szCs w:val="19"/>
                <w:u w:val="single"/>
              </w:rPr>
            </w:pPr>
          </w:p>
          <w:p w14:paraId="04DC3AE8" w14:textId="4D162269" w:rsidR="00CD55DF" w:rsidRPr="0090511F" w:rsidRDefault="0090511F" w:rsidP="0090511F">
            <w:pPr>
              <w:spacing w:before="106" w:after="200"/>
              <w:ind w:left="332"/>
            </w:pPr>
            <w:r w:rsidRPr="0090511F">
              <w:t xml:space="preserve">Nel trimestre sono state </w:t>
            </w:r>
            <w:r w:rsidR="00366455">
              <w:t xml:space="preserve">fissate </w:t>
            </w:r>
            <w:r w:rsidR="008820F5">
              <w:t xml:space="preserve">una </w:t>
            </w:r>
            <w:r w:rsidRPr="0090511F">
              <w:t>verific</w:t>
            </w:r>
            <w:r w:rsidR="008820F5">
              <w:t>a</w:t>
            </w:r>
            <w:r w:rsidRPr="0090511F">
              <w:t xml:space="preserve"> oral</w:t>
            </w:r>
            <w:r w:rsidR="008820F5">
              <w:t xml:space="preserve">e e </w:t>
            </w:r>
            <w:r w:rsidR="005D2DC8">
              <w:t>due verifiche scritte (tipologia A)</w:t>
            </w:r>
            <w:r w:rsidR="00366455">
              <w:t>.</w:t>
            </w:r>
          </w:p>
          <w:p w14:paraId="33767BC3" w14:textId="00D73DB9" w:rsidR="0090511F" w:rsidRPr="0090511F" w:rsidRDefault="0090511F" w:rsidP="0090511F">
            <w:pPr>
              <w:spacing w:before="106" w:after="200"/>
              <w:ind w:left="332"/>
            </w:pPr>
            <w:r w:rsidRPr="0090511F">
              <w:t xml:space="preserve">Nel </w:t>
            </w:r>
            <w:proofErr w:type="spellStart"/>
            <w:r w:rsidRPr="0090511F">
              <w:t>pentamestre</w:t>
            </w:r>
            <w:proofErr w:type="spellEnd"/>
            <w:r w:rsidRPr="0090511F">
              <w:t xml:space="preserve"> gli studenti sono stati sottoposti a due verifiche orali</w:t>
            </w:r>
            <w:r w:rsidR="005D2DC8">
              <w:t xml:space="preserve"> e a tre verifiche scritte (due di tipologia A e una di tipologia C)</w:t>
            </w:r>
            <w:r w:rsidR="00366455">
              <w:t>.</w:t>
            </w:r>
          </w:p>
          <w:p w14:paraId="0FCC89AF" w14:textId="3FA769E2" w:rsidR="00CD55DF" w:rsidRDefault="00366455">
            <w:pPr>
              <w:widowControl w:val="0"/>
              <w:spacing w:line="240" w:lineRule="auto"/>
              <w:ind w:left="332"/>
              <w:jc w:val="both"/>
            </w:pPr>
            <w:r>
              <w:t xml:space="preserve">Rispetto alla situazione di partenza gli alunni hanno approfondito le conoscenze relative agli </w:t>
            </w:r>
            <w:r w:rsidR="005D2DC8">
              <w:t>autori trattati</w:t>
            </w:r>
            <w:r>
              <w:t>, migliorando l’esposizione orale</w:t>
            </w:r>
            <w:r w:rsidR="005D2DC8">
              <w:t>, la produzione scritta</w:t>
            </w:r>
            <w:r>
              <w:t xml:space="preserve"> e la capacità di fare collegamenti.</w:t>
            </w:r>
          </w:p>
          <w:p w14:paraId="156F5C0A" w14:textId="7A56B40D" w:rsidR="00CD55DF" w:rsidRDefault="00366455" w:rsidP="00366455">
            <w:pPr>
              <w:widowControl w:val="0"/>
              <w:spacing w:line="240" w:lineRule="auto"/>
              <w:ind w:left="332"/>
              <w:jc w:val="both"/>
            </w:pPr>
            <w:r>
              <w:t>La classe ha mostrato partecipazione e interesse, impegnandosi nello studio e nel rispetto delle consegne.</w:t>
            </w:r>
          </w:p>
          <w:p w14:paraId="3BFE31A3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504D5824" w14:textId="77777777" w:rsidR="00CD55DF" w:rsidRDefault="00CD55DF"/>
    <w:tbl>
      <w:tblPr>
        <w:tblStyle w:val="a5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3742AEC0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44DB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CONTENUTI DEL PROGRAMMA EFFETTIVAMENTE SVOLTO</w:t>
            </w:r>
          </w:p>
          <w:p w14:paraId="76CD4EFC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787342AA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Dal 15.09.2024 al 31.10.2024</w:t>
            </w:r>
          </w:p>
          <w:p w14:paraId="78D15E01" w14:textId="77777777" w:rsid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Docente: Mattia Fabbri</w:t>
            </w:r>
          </w:p>
          <w:p w14:paraId="1868DB0E" w14:textId="77777777" w:rsid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ABC35C3" w14:textId="03E672DE" w:rsidR="008435AF" w:rsidRPr="008435AF" w:rsidRDefault="008435AF" w:rsidP="008435AF">
            <w:pP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TRIMESTRE</w:t>
            </w:r>
          </w:p>
          <w:p w14:paraId="045C80DC" w14:textId="77777777" w:rsid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3103C16" w14:textId="16458719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L’UMANESIMO</w:t>
            </w:r>
          </w:p>
          <w:p w14:paraId="70DDC4DF" w14:textId="5940001C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Giovanni Pico della Mirandola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 - </w:t>
            </w: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Orazione sulla dignità dell’uomo</w:t>
            </w:r>
          </w:p>
          <w:p w14:paraId="4DADC516" w14:textId="77777777" w:rsid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6D697A6" w14:textId="07511C0D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MACHIAVELLI</w:t>
            </w:r>
          </w:p>
          <w:p w14:paraId="71847FDD" w14:textId="507C29CA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Il principe</w:t>
            </w:r>
            <w:r w:rsidR="00287A19">
              <w:rPr>
                <w:rStyle w:val="ECVHeadingContactDetails"/>
                <w:color w:val="auto"/>
                <w:sz w:val="22"/>
                <w:szCs w:val="22"/>
              </w:rPr>
              <w:t>: i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ntroduzione e brani scelti</w:t>
            </w:r>
          </w:p>
          <w:p w14:paraId="032A22D9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2877F21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Dal 01.11.2024 al 13.03.2025</w:t>
            </w:r>
          </w:p>
          <w:p w14:paraId="2324D37C" w14:textId="77777777" w:rsid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Docente: Luca Socci</w:t>
            </w:r>
          </w:p>
          <w:p w14:paraId="0C0D6A0D" w14:textId="77777777" w:rsid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313B8D4" w14:textId="332240DB" w:rsidR="008435AF" w:rsidRPr="008435AF" w:rsidRDefault="008435AF" w:rsidP="008435AF">
            <w:pP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TRIMESTRE E PENTAMESTRE</w:t>
            </w:r>
          </w:p>
          <w:p w14:paraId="71FA110F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56D1F2E3" w14:textId="216D64A3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 xml:space="preserve">ARIOSTO </w:t>
            </w:r>
          </w:p>
          <w:p w14:paraId="4F5FE586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Vita e opere</w:t>
            </w:r>
          </w:p>
          <w:p w14:paraId="2CF53792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Orlando Furioso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, canti I, VIII, IV, XII, XVIII, XIX, XXIII, XXXIV; XLI, XLII</w:t>
            </w:r>
          </w:p>
          <w:p w14:paraId="1A20E4B2" w14:textId="77777777" w:rsid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737F642C" w14:textId="3F35F47D" w:rsidR="008435AF" w:rsidRDefault="00287A19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>
              <w:rPr>
                <w:rStyle w:val="ECVHeadingContactDetails"/>
                <w:color w:val="auto"/>
                <w:sz w:val="22"/>
                <w:szCs w:val="22"/>
              </w:rPr>
              <w:t>DANTE ALIGHIERI</w:t>
            </w:r>
          </w:p>
          <w:p w14:paraId="5661B979" w14:textId="05C50C8E" w:rsidR="008435AF" w:rsidRPr="00287A19" w:rsidRDefault="008435AF" w:rsidP="008435A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287A19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Purgatorio</w:t>
            </w:r>
          </w:p>
          <w:p w14:paraId="7E154433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Canti I, II, III, V, VI, VII, VIII</w:t>
            </w:r>
          </w:p>
          <w:p w14:paraId="10E6524A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6EEF9ACD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Dal 14.03.2025 al 06.06.2025</w:t>
            </w:r>
          </w:p>
          <w:p w14:paraId="791293F8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Docente: Giada Galassi</w:t>
            </w:r>
          </w:p>
          <w:p w14:paraId="58C387B4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6039F2E9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TORQUATO TASSO</w:t>
            </w:r>
          </w:p>
          <w:p w14:paraId="2A28AB6A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Vita dell’autore e opere principali (</w:t>
            </w: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Rime, Aminta, Re Torrismondo, Gerusalemme Conquistata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), con</w:t>
            </w:r>
          </w:p>
          <w:p w14:paraId="7544C205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lastRenderedPageBreak/>
              <w:t>riferimento ai temi centrali della sua poetica</w:t>
            </w:r>
          </w:p>
          <w:p w14:paraId="69D422B7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Gerusalemme Liberata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: struttura, temi e significati</w:t>
            </w:r>
          </w:p>
          <w:p w14:paraId="0A44ABB6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Canto I, 1-11: l’inizio del poema e i suoi protagonisti</w:t>
            </w:r>
          </w:p>
          <w:p w14:paraId="077C27CF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Canto IV, 17 e 27-31: Armida, diabolica seduttrice</w:t>
            </w:r>
          </w:p>
          <w:p w14:paraId="17AA0C06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Canto XII, 50-70: amore e morte – Tancredi e Clorinda</w:t>
            </w:r>
          </w:p>
          <w:p w14:paraId="719C0FBA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B1452B4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IL ‘600</w:t>
            </w:r>
          </w:p>
          <w:p w14:paraId="25B567E2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Caratteristiche e tratti salienti</w:t>
            </w:r>
          </w:p>
          <w:p w14:paraId="3B5F0E30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48B00D0C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IL ‘700</w:t>
            </w:r>
          </w:p>
          <w:p w14:paraId="24F15563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Caratteristiche e tratti salienti</w:t>
            </w:r>
          </w:p>
          <w:p w14:paraId="59656A24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Questione sulla lingua</w:t>
            </w:r>
          </w:p>
          <w:p w14:paraId="22A5C33E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Autori principali (Parini, Alfieri, Goldoni), con riferimento ai temi centrali della loro poetica</w:t>
            </w:r>
          </w:p>
          <w:p w14:paraId="4C3FE509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4A4256FF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UGO FOSCOLO</w:t>
            </w:r>
          </w:p>
          <w:p w14:paraId="6E104E79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Vita dell’autore</w:t>
            </w:r>
          </w:p>
          <w:p w14:paraId="029F6FFF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Ultime lettere di Jacopo Ortis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: struttura, temi e significati</w:t>
            </w:r>
          </w:p>
          <w:p w14:paraId="39983CD0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11 ottobre 1797: “Il sacrificio della patria nostra è consumato”</w:t>
            </w:r>
          </w:p>
          <w:p w14:paraId="2061D3BB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26 ottobre 1797: la “divina fanciulla”</w:t>
            </w:r>
          </w:p>
          <w:p w14:paraId="64046115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19 e 20 febbraio 1799: lettera da Ventimiglia</w:t>
            </w:r>
          </w:p>
          <w:p w14:paraId="170D4CA8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Venerdì, ore 1: l’addio alla vita e a Teresa</w:t>
            </w:r>
          </w:p>
          <w:p w14:paraId="74427D54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35CEF77A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Sonetti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: struttura, temi e significati</w:t>
            </w:r>
          </w:p>
          <w:p w14:paraId="5FF8D5D1" w14:textId="77777777" w:rsidR="008435AF" w:rsidRPr="008435AF" w:rsidRDefault="008435AF" w:rsidP="008435A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Alla sera</w:t>
            </w:r>
          </w:p>
          <w:p w14:paraId="682F8C3D" w14:textId="77777777" w:rsidR="008435AF" w:rsidRPr="008435AF" w:rsidRDefault="008435AF" w:rsidP="008435A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A Zacinto</w:t>
            </w:r>
          </w:p>
          <w:p w14:paraId="0323EDC9" w14:textId="77777777" w:rsidR="008435AF" w:rsidRPr="008435AF" w:rsidRDefault="008435AF" w:rsidP="008435A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In morte del fratello Giovanni</w:t>
            </w:r>
          </w:p>
          <w:p w14:paraId="1465E188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389EA03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Dei Sepolcri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: struttura, temi e significati</w:t>
            </w:r>
          </w:p>
          <w:p w14:paraId="7CE34A21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369FDA69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ALESSANDRO MANZONI</w:t>
            </w:r>
          </w:p>
          <w:p w14:paraId="3F636903" w14:textId="2F291B61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Vita dell’autore e opere principali (</w:t>
            </w: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Inni sacri, Odi civili, Il Conte di Carmagnola, Adelchi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), con riferimento ai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 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temi centrali della sua poetica</w:t>
            </w:r>
          </w:p>
          <w:p w14:paraId="63C07D2B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6A8EB5BB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Odi civili – Il cinque maggio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: struttura, temi e significati</w:t>
            </w:r>
          </w:p>
          <w:p w14:paraId="7FDEC256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FD263AA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87A19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 Promessi Sposi</w:t>
            </w:r>
            <w:r w:rsidRPr="008435AF">
              <w:rPr>
                <w:rStyle w:val="ECVHeadingContactDetails"/>
                <w:color w:val="auto"/>
                <w:sz w:val="22"/>
                <w:szCs w:val="22"/>
              </w:rPr>
              <w:t>: struttura, temi e significati</w:t>
            </w:r>
          </w:p>
          <w:p w14:paraId="65464580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Capitolo XVII: la notte di Renzo</w:t>
            </w:r>
          </w:p>
          <w:p w14:paraId="53E52A0C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Capitolo XXXVIII: il “sugo della storia”</w:t>
            </w:r>
          </w:p>
          <w:p w14:paraId="198AF371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2A9EACE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DANTE ALIGHIERI</w:t>
            </w:r>
          </w:p>
          <w:p w14:paraId="4BA18F84" w14:textId="77777777" w:rsidR="008435AF" w:rsidRPr="00287A19" w:rsidRDefault="008435AF" w:rsidP="008435A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287A19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Purgatorio</w:t>
            </w:r>
          </w:p>
          <w:p w14:paraId="100B9B04" w14:textId="77777777" w:rsidR="008435AF" w:rsidRPr="008435AF" w:rsidRDefault="008435AF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Canto IX: l’accesso al Purgatorio</w:t>
            </w:r>
          </w:p>
          <w:p w14:paraId="7CB14220" w14:textId="71AD092A" w:rsidR="00CD55DF" w:rsidRDefault="008435AF" w:rsidP="008435AF">
            <w:pPr>
              <w:rPr>
                <w:b/>
              </w:rPr>
            </w:pPr>
            <w:r w:rsidRPr="008435AF">
              <w:rPr>
                <w:rStyle w:val="ECVHeadingContactDetails"/>
                <w:color w:val="auto"/>
                <w:sz w:val="22"/>
                <w:szCs w:val="22"/>
              </w:rPr>
              <w:t>Canto XI: la cornice dei superbi</w:t>
            </w:r>
          </w:p>
        </w:tc>
      </w:tr>
    </w:tbl>
    <w:p w14:paraId="15C6DDE0" w14:textId="77777777" w:rsidR="00CD55DF" w:rsidRDefault="00CD55DF"/>
    <w:p w14:paraId="4B2E5CDD" w14:textId="77777777" w:rsidR="0090511F" w:rsidRDefault="0090511F"/>
    <w:p w14:paraId="565DBA4D" w14:textId="77777777" w:rsidR="005D2DC8" w:rsidRDefault="005D2DC8"/>
    <w:tbl>
      <w:tblPr>
        <w:tblStyle w:val="a6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4C36172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A42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INDICAZIONI PER IL RECUPERO DEL DEBITO E/O RAFFORZAMENTO</w:t>
            </w:r>
          </w:p>
          <w:p w14:paraId="29B94F5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7AF87A4" w14:textId="7BFC28E2" w:rsidR="00CD55D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Tutti gli studenti sono riusciti a ottenere voti sufficienti.</w:t>
            </w:r>
          </w:p>
          <w:p w14:paraId="7CBE442C" w14:textId="70A5F03B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 xml:space="preserve">Si consiglia il ripasso </w:t>
            </w:r>
            <w:r w:rsidR="00287A19">
              <w:rPr>
                <w:rStyle w:val="ECVHeadingContactDetails"/>
                <w:color w:val="auto"/>
                <w:sz w:val="22"/>
                <w:szCs w:val="22"/>
              </w:rPr>
              <w:t>degli autori analizzati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 </w:t>
            </w: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durante l’estate</w:t>
            </w:r>
            <w:r w:rsidR="00287A19">
              <w:rPr>
                <w:rStyle w:val="ECVHeadingContactDetails"/>
                <w:color w:val="auto"/>
                <w:sz w:val="22"/>
                <w:szCs w:val="22"/>
              </w:rPr>
              <w:t xml:space="preserve"> e la lettura di due romanzi</w:t>
            </w:r>
            <w:r w:rsidRPr="0090511F">
              <w:rPr>
                <w:rStyle w:val="ECVHeadingContactDetails"/>
                <w:color w:val="auto"/>
                <w:sz w:val="22"/>
                <w:szCs w:val="22"/>
              </w:rPr>
              <w:t>.</w:t>
            </w:r>
          </w:p>
          <w:p w14:paraId="5635B090" w14:textId="77777777" w:rsidR="00CD55DF" w:rsidRDefault="00CD55DF" w:rsidP="0090511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67E4A26" w14:textId="77777777" w:rsidR="00CD55DF" w:rsidRDefault="00CD55DF"/>
    <w:sectPr w:rsidR="00CD55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51BE"/>
    <w:multiLevelType w:val="multilevel"/>
    <w:tmpl w:val="61CC5610"/>
    <w:lvl w:ilvl="0">
      <w:numFmt w:val="bullet"/>
      <w:lvlText w:val="-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1" w15:restartNumberingAfterBreak="0">
    <w:nsid w:val="3AE40585"/>
    <w:multiLevelType w:val="multilevel"/>
    <w:tmpl w:val="E0C465EC"/>
    <w:lvl w:ilvl="0">
      <w:numFmt w:val="bullet"/>
      <w:lvlText w:val="o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2" w15:restartNumberingAfterBreak="0">
    <w:nsid w:val="4EDA54B7"/>
    <w:multiLevelType w:val="hybridMultilevel"/>
    <w:tmpl w:val="D83C325C"/>
    <w:lvl w:ilvl="0" w:tplc="05725C3C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 w16cid:durableId="1620256138">
    <w:abstractNumId w:val="1"/>
  </w:num>
  <w:num w:numId="2" w16cid:durableId="829447631">
    <w:abstractNumId w:val="0"/>
  </w:num>
  <w:num w:numId="3" w16cid:durableId="153068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DF"/>
    <w:rsid w:val="00196C32"/>
    <w:rsid w:val="001C7A1F"/>
    <w:rsid w:val="00287A19"/>
    <w:rsid w:val="00366455"/>
    <w:rsid w:val="005D2DC8"/>
    <w:rsid w:val="008435AF"/>
    <w:rsid w:val="00866C7C"/>
    <w:rsid w:val="008820F5"/>
    <w:rsid w:val="0090511F"/>
    <w:rsid w:val="00A059F6"/>
    <w:rsid w:val="00C56F04"/>
    <w:rsid w:val="00CB458D"/>
    <w:rsid w:val="00CD55DF"/>
    <w:rsid w:val="00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D69"/>
  <w15:docId w15:val="{7C6E6634-FBEA-406B-9230-B70AE2B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66C7C"/>
    <w:pPr>
      <w:ind w:left="720"/>
      <w:contextualSpacing/>
    </w:pPr>
  </w:style>
  <w:style w:type="character" w:customStyle="1" w:styleId="ECVHeadingContactDetails">
    <w:name w:val="_ECV_HeadingContactDetails"/>
    <w:rsid w:val="0090511F"/>
    <w:rPr>
      <w:rFonts w:ascii="Arial" w:hAnsi="Arial"/>
      <w:color w:val="1593CB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ps050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ps05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Giada Galassi</cp:lastModifiedBy>
  <cp:revision>6</cp:revision>
  <dcterms:created xsi:type="dcterms:W3CDTF">2025-06-04T12:53:00Z</dcterms:created>
  <dcterms:modified xsi:type="dcterms:W3CDTF">2025-06-04T13:58:00Z</dcterms:modified>
</cp:coreProperties>
</file>